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24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both"/>
        <w:textAlignment w:val="auto"/>
        <w:rPr>
          <w:rFonts w:hint="eastAsia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eastAsia="黑体" w:cs="Times New Roman"/>
          <w:sz w:val="32"/>
          <w:szCs w:val="32"/>
          <w:lang w:val="en-US" w:eastAsia="zh-CN"/>
        </w:rPr>
        <w:t>附件6</w:t>
      </w:r>
    </w:p>
    <w:p w14:paraId="0200A3A8">
      <w:pPr>
        <w:pStyle w:val="3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潮州文化研究专项申报须知</w:t>
      </w:r>
    </w:p>
    <w:p w14:paraId="6CDD8358">
      <w:pPr>
        <w:rPr>
          <w:rFonts w:hint="default"/>
          <w:lang w:val="en-US" w:eastAsia="zh-CN"/>
        </w:rPr>
      </w:pPr>
    </w:p>
    <w:p w14:paraId="130C69E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潮州文化研究专项</w:t>
      </w:r>
      <w:r>
        <w:rPr>
          <w:rFonts w:hint="eastAsia"/>
          <w:lang w:val="en-US" w:eastAsia="zh-CN"/>
        </w:rPr>
        <w:t>由省社科规划专项小组</w:t>
      </w:r>
      <w:r>
        <w:rPr>
          <w:rFonts w:hint="default"/>
          <w:lang w:val="en-US" w:eastAsia="zh-CN"/>
        </w:rPr>
        <w:t>与暨南大学</w:t>
      </w:r>
      <w:r>
        <w:rPr>
          <w:rFonts w:hint="eastAsia"/>
          <w:lang w:val="en-US" w:eastAsia="zh-CN"/>
        </w:rPr>
        <w:t>联合设立。</w:t>
      </w:r>
    </w:p>
    <w:p w14:paraId="158271E9">
      <w:pPr>
        <w:pStyle w:val="4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总体要求</w:t>
      </w:r>
    </w:p>
    <w:p w14:paraId="1F60A03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为全面贯彻落实习近平总书记视察潮州的重要讲话精神，系统梳理潮州文化的发展脉络，认真剖析其核心内涵与独特魅力，深入挖掘潮州文化的历史、当代价值，力争产出一批具有学术价值、社会影响力的高质量研究成果，为潮州文化的保护、传承与发展提供坚实的理论支撑，进一步推动潮州文化在港澳台及海外的传承传播。</w:t>
      </w:r>
    </w:p>
    <w:p w14:paraId="1EFAF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firstLine="640" w:firstLineChars="200"/>
        <w:jc w:val="both"/>
        <w:textAlignment w:val="auto"/>
        <w:outlineLvl w:val="1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二、立项数量及资助经费</w:t>
      </w:r>
    </w:p>
    <w:p w14:paraId="0BCE62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拟立项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15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项，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每项资助3万元。具体立项数量和资助额度视实际申报情况而定。</w:t>
      </w:r>
      <w:r>
        <w:rPr>
          <w:rFonts w:hint="eastAsia" w:ascii="仿宋_GB2312" w:hAnsi="Calibri" w:eastAsia="仿宋_GB2312" w:cs="Times New Roman"/>
          <w:sz w:val="32"/>
          <w:szCs w:val="32"/>
        </w:rPr>
        <w:t>项目资助经费由暨南大学潮州文化研究院划拨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到</w:t>
      </w:r>
      <w:r>
        <w:rPr>
          <w:rFonts w:hint="eastAsia" w:ascii="仿宋_GB2312" w:hAnsi="Calibri" w:eastAsia="仿宋_GB2312" w:cs="Times New Roman"/>
          <w:sz w:val="32"/>
          <w:szCs w:val="32"/>
        </w:rPr>
        <w:t>项目负责人所在单位。</w:t>
      </w:r>
    </w:p>
    <w:p w14:paraId="179C91FD"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三、参考选题</w:t>
      </w:r>
    </w:p>
    <w:p w14:paraId="13E5B16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申请人须根据参考选题，结合自己的研究专长和研究基础，细化研究角度、方法和侧重点，设计题目进行申报。选题如下：</w:t>
      </w:r>
    </w:p>
    <w:p w14:paraId="5E316C3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1.数智赋能潮州文化传承创新的路径研究；</w:t>
      </w:r>
    </w:p>
    <w:p w14:paraId="331C177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2.潮州民俗文化传承体系研究；</w:t>
      </w:r>
    </w:p>
    <w:p w14:paraId="0C2CBA9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3.潮汕文化与经济互动融合发展研究；</w:t>
      </w:r>
    </w:p>
    <w:p w14:paraId="3019313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4.数字人文视域下的潮学研究；</w:t>
      </w:r>
    </w:p>
    <w:p w14:paraId="7CA4196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5.当代潮汕文艺创作研究；</w:t>
      </w:r>
    </w:p>
    <w:p w14:paraId="6FFFB89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6.海外潮汕方言的调查与研究；</w:t>
      </w:r>
    </w:p>
    <w:p w14:paraId="13E09F7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7.海外潮汕非遗文化的传承传播；</w:t>
      </w:r>
    </w:p>
    <w:p w14:paraId="7095E31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8.潮州古城申遗研究。</w:t>
      </w:r>
    </w:p>
    <w:p w14:paraId="6F676EA2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四</w:t>
      </w:r>
      <w:r>
        <w:rPr>
          <w:rFonts w:hint="eastAsia"/>
          <w:lang w:eastAsia="zh-CN"/>
        </w:rPr>
        <w:t>、成果要求</w:t>
      </w:r>
    </w:p>
    <w:p w14:paraId="7D26EC3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预期成果形式包括研究报告、论文和专著三类，可三选一或三选二。其中，研究报告不少于3万字；学术论文要求在公开刊物上发表不少于3篇（含3篇，</w:t>
      </w:r>
      <w:r>
        <w:rPr>
          <w:rFonts w:hint="eastAsia"/>
          <w:lang w:val="en-US" w:eastAsia="zh-CN"/>
        </w:rPr>
        <w:t>其中</w:t>
      </w:r>
      <w:r>
        <w:rPr>
          <w:rFonts w:hint="default"/>
          <w:lang w:val="en-US" w:eastAsia="zh-CN"/>
        </w:rPr>
        <w:t>至少在CSSCI来源刊物发表1篇）；专著书稿不少于15万字。若选两种成果形式，则均需达到上述相关成果要求。项目成果须严格遵守学术规范，并与课题具有相关性。</w:t>
      </w:r>
    </w:p>
    <w:p w14:paraId="06AA299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项目</w:t>
      </w:r>
      <w:r>
        <w:rPr>
          <w:rFonts w:hint="eastAsia"/>
          <w:lang w:val="en-US" w:eastAsia="zh-CN"/>
        </w:rPr>
        <w:t>研究周期为2-3年，其中，基础研究一般为3年，应用研究一般为2年。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C9E7B1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4893D0"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4893D0">
                    <w:pPr>
                      <w:pStyle w:val="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80BBD31"/>
    <w:multiLevelType w:val="singleLevel"/>
    <w:tmpl w:val="480BBD3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9C32A1"/>
    <w:rsid w:val="0A2476ED"/>
    <w:rsid w:val="0E27176F"/>
    <w:rsid w:val="126A70B8"/>
    <w:rsid w:val="23C32038"/>
    <w:rsid w:val="254F201A"/>
    <w:rsid w:val="2B4B625D"/>
    <w:rsid w:val="318908BB"/>
    <w:rsid w:val="31F75DB5"/>
    <w:rsid w:val="34711E4F"/>
    <w:rsid w:val="3D9C32A1"/>
    <w:rsid w:val="3DDD05A4"/>
    <w:rsid w:val="3DF17B5D"/>
    <w:rsid w:val="412C5A7C"/>
    <w:rsid w:val="42EB7271"/>
    <w:rsid w:val="438D5DEB"/>
    <w:rsid w:val="4CA87F80"/>
    <w:rsid w:val="4D6245D3"/>
    <w:rsid w:val="50950CB1"/>
    <w:rsid w:val="52A67F4E"/>
    <w:rsid w:val="531C6705"/>
    <w:rsid w:val="537C437E"/>
    <w:rsid w:val="621912AD"/>
    <w:rsid w:val="625D1E54"/>
    <w:rsid w:val="639C2195"/>
    <w:rsid w:val="63EF49BB"/>
    <w:rsid w:val="64A864B1"/>
    <w:rsid w:val="69A60208"/>
    <w:rsid w:val="7B4A152A"/>
    <w:rsid w:val="7F8D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780" w:lineRule="exact"/>
      <w:ind w:firstLine="0" w:firstLineChars="0"/>
      <w:jc w:val="center"/>
      <w:outlineLvl w:val="0"/>
    </w:pPr>
    <w:rPr>
      <w:rFonts w:ascii="Times New Roman" w:hAnsi="Times New Roman" w:eastAsia="方正小标宋简体" w:cs="Times New Roman"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1"/>
    </w:pPr>
    <w:rPr>
      <w:rFonts w:ascii="Arial" w:hAnsi="Arial" w:eastAsia="黑体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413" w:lineRule="auto"/>
      <w:outlineLvl w:val="2"/>
    </w:pPr>
    <w:rPr>
      <w:rFonts w:ascii="Times New Roman" w:hAnsi="Times New Roman" w:eastAsia="楷体_GB231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qFormat/>
    <w:uiPriority w:val="0"/>
    <w:pPr>
      <w:widowControl w:val="0"/>
      <w:ind w:firstLine="880" w:firstLineChars="20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628</Words>
  <Characters>644</Characters>
  <Lines>0</Lines>
  <Paragraphs>0</Paragraphs>
  <TotalTime>9</TotalTime>
  <ScaleCrop>false</ScaleCrop>
  <LinksUpToDate>false</LinksUpToDate>
  <CharactersWithSpaces>644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2025-05-20T08:30:00Z</dcterms:created>
  <dc:creator>spartaceftt</dc:creator>
  <cp:lastModifiedBy>spartaceftt</cp:lastModifiedBy>
  <cp:lastPrinted>2025-05-28T01:02:00Z</cp:lastPrinted>
  <dcterms:modified xsi:type="dcterms:W3CDTF">2025-05-29T07:23:36Z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CFB8A82DAF0149869783A06D175F704A_11</vt:lpwstr>
  </property>
  <property fmtid="{D5CDD505-2E9C-101B-9397-08002B2CF9AE}" pid="4" name="KSOTemplateDocerSaveRecord">
    <vt:lpwstr>eyJoZGlkIjoiNzdmY2I2ZDU1YWUzOGZlMmIyOTc4MmExMjJhMTUxMDEiLCJ1c2VySWQiOiI0NTU4NzI5MjYifQ==</vt:lpwstr>
  </property>
</Properties>
</file>