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924A2F">
      <w:pPr>
        <w:ind w:left="0" w:leftChars="0" w:firstLine="0" w:firstLineChars="0"/>
        <w:rPr>
          <w:rFonts w:hint="eastAsia" w:ascii="黑体" w:hAnsi="黑体" w:eastAsia="黑体" w:cs="黑体"/>
          <w:lang w:val="en-US" w:eastAsia="zh-CN"/>
        </w:rPr>
      </w:pPr>
      <w:r>
        <w:rPr>
          <w:rFonts w:hint="eastAsia" w:ascii="黑体" w:hAnsi="黑体" w:eastAsia="黑体" w:cs="黑体"/>
          <w:lang w:val="en-US" w:eastAsia="zh-CN"/>
        </w:rPr>
        <w:t>附件2</w:t>
      </w:r>
    </w:p>
    <w:p w14:paraId="51E21F5B">
      <w:pPr>
        <w:pStyle w:val="2"/>
        <w:bidi w:val="0"/>
        <w:rPr>
          <w:rFonts w:hint="eastAsia"/>
          <w:lang w:val="en-US" w:eastAsia="zh-CN"/>
        </w:rPr>
      </w:pPr>
      <w:r>
        <w:rPr>
          <w:rFonts w:hint="eastAsia"/>
          <w:lang w:val="en-US" w:eastAsia="zh-CN"/>
        </w:rPr>
        <w:t>人才研究专项申报须知</w:t>
      </w:r>
    </w:p>
    <w:p w14:paraId="50E78F98">
      <w:pPr>
        <w:bidi w:val="0"/>
        <w:rPr>
          <w:rFonts w:hint="eastAsia"/>
          <w:sz w:val="22"/>
          <w:szCs w:val="20"/>
          <w:lang w:val="en-US" w:eastAsia="zh-CN"/>
        </w:rPr>
      </w:pPr>
    </w:p>
    <w:p w14:paraId="46EB8979">
      <w:pPr>
        <w:bidi w:val="0"/>
        <w:rPr>
          <w:rFonts w:hint="eastAsia"/>
          <w:lang w:val="en-US" w:eastAsia="zh-CN"/>
        </w:rPr>
      </w:pPr>
      <w:r>
        <w:rPr>
          <w:rFonts w:hint="eastAsia"/>
          <w:lang w:val="en-US" w:eastAsia="zh-CN"/>
        </w:rPr>
        <w:t>人才研究专项，由省委人才工作领导小组办公室与省社科规划专项小组联合设立。</w:t>
      </w:r>
    </w:p>
    <w:p w14:paraId="158271E9">
      <w:pPr>
        <w:pStyle w:val="3"/>
        <w:numPr>
          <w:ilvl w:val="0"/>
          <w:numId w:val="1"/>
        </w:numPr>
        <w:bidi w:val="0"/>
        <w:rPr>
          <w:rFonts w:hint="eastAsia"/>
          <w:lang w:val="en-US" w:eastAsia="zh-CN"/>
        </w:rPr>
      </w:pPr>
      <w:r>
        <w:rPr>
          <w:rFonts w:hint="eastAsia"/>
          <w:lang w:val="en-US" w:eastAsia="zh-CN"/>
        </w:rPr>
        <w:t>总体要求</w:t>
      </w:r>
    </w:p>
    <w:p w14:paraId="6F6CDFC7">
      <w:pPr>
        <w:bidi w:val="0"/>
        <w:rPr>
          <w:rFonts w:hint="eastAsia"/>
          <w:lang w:val="en-US" w:eastAsia="zh-CN"/>
        </w:rPr>
      </w:pPr>
      <w:r>
        <w:rPr>
          <w:rFonts w:hint="eastAsia"/>
          <w:lang w:val="en-US" w:eastAsia="zh-CN"/>
        </w:rPr>
        <w:t>为深入贯彻落实习近平总书记关于做好新时代人才工作的重要思想，深化人才发展体制机制改革，加快推进高水平人才高地建设和新时代人才强省建设，围绕人才工作的重大理论和现实问题开展研究，努力推出一批高质量研究成果，为提高我省人才工作科学化水平、高质量推进粤港澳大湾区高水平人才高地和新时代人才强省建设提供理论支撑和智力支持。</w:t>
      </w:r>
    </w:p>
    <w:p w14:paraId="550F7A54">
      <w:pPr>
        <w:keepNext w:val="0"/>
        <w:keepLines w:val="0"/>
        <w:pageBreakBefore w:val="0"/>
        <w:widowControl w:val="0"/>
        <w:kinsoku/>
        <w:wordWrap/>
        <w:overflowPunct/>
        <w:topLinePunct w:val="0"/>
        <w:autoSpaceDE/>
        <w:autoSpaceDN/>
        <w:bidi w:val="0"/>
        <w:adjustRightInd/>
        <w:snapToGrid/>
        <w:spacing w:before="0" w:after="0" w:line="240" w:lineRule="auto"/>
        <w:ind w:left="0" w:firstLine="640" w:firstLineChars="200"/>
        <w:jc w:val="both"/>
        <w:textAlignment w:val="auto"/>
        <w:outlineLvl w:val="1"/>
        <w:rPr>
          <w:rFonts w:hint="eastAsia" w:ascii="黑体" w:hAnsi="黑体" w:eastAsia="黑体" w:cs="黑体"/>
          <w:b w:val="0"/>
          <w:bCs w:val="0"/>
          <w:sz w:val="32"/>
          <w:szCs w:val="32"/>
        </w:rPr>
      </w:pPr>
      <w:r>
        <w:rPr>
          <w:rFonts w:hint="eastAsia" w:ascii="黑体" w:hAnsi="黑体" w:eastAsia="黑体" w:cs="黑体"/>
          <w:b w:val="0"/>
          <w:bCs w:val="0"/>
          <w:sz w:val="32"/>
          <w:szCs w:val="32"/>
        </w:rPr>
        <w:t>二、立项数量与资助经费</w:t>
      </w:r>
    </w:p>
    <w:p w14:paraId="2F9A3F48">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拟立</w:t>
      </w:r>
      <w:r>
        <w:rPr>
          <w:rFonts w:hint="eastAsia" w:cs="Times New Roman"/>
          <w:sz w:val="32"/>
          <w:szCs w:val="32"/>
          <w:lang w:val="en-US" w:eastAsia="zh-CN"/>
        </w:rPr>
        <w:t>9</w:t>
      </w:r>
      <w:r>
        <w:rPr>
          <w:rFonts w:hint="eastAsia" w:ascii="Times New Roman" w:hAnsi="Times New Roman" w:eastAsia="仿宋_GB2312" w:cs="Times New Roman"/>
          <w:sz w:val="32"/>
          <w:szCs w:val="32"/>
        </w:rPr>
        <w:t>项</w:t>
      </w:r>
      <w:r>
        <w:rPr>
          <w:rFonts w:hint="eastAsia" w:cs="Times New Roman"/>
          <w:sz w:val="32"/>
          <w:szCs w:val="32"/>
          <w:lang w:eastAsia="zh-CN"/>
        </w:rPr>
        <w:t>，</w:t>
      </w:r>
      <w:r>
        <w:rPr>
          <w:rFonts w:hint="eastAsia" w:ascii="Times New Roman" w:hAnsi="Times New Roman" w:eastAsia="仿宋_GB2312" w:cs="Times New Roman"/>
          <w:sz w:val="32"/>
          <w:szCs w:val="32"/>
        </w:rPr>
        <w:t>每项资助</w:t>
      </w:r>
      <w:r>
        <w:rPr>
          <w:rFonts w:hint="eastAsia" w:cs="Times New Roman"/>
          <w:sz w:val="32"/>
          <w:szCs w:val="32"/>
          <w:lang w:val="en-US" w:eastAsia="zh-CN"/>
        </w:rPr>
        <w:t>5</w:t>
      </w:r>
      <w:r>
        <w:rPr>
          <w:rFonts w:hint="eastAsia" w:ascii="Times New Roman" w:hAnsi="Times New Roman" w:eastAsia="仿宋_GB2312" w:cs="Times New Roman"/>
          <w:sz w:val="32"/>
          <w:szCs w:val="32"/>
        </w:rPr>
        <w:t>万</w:t>
      </w:r>
      <w:r>
        <w:rPr>
          <w:rFonts w:hint="eastAsia" w:ascii="Times New Roman" w:hAnsi="Times New Roman" w:eastAsia="仿宋_GB2312" w:cs="Times New Roman"/>
          <w:sz w:val="32"/>
          <w:szCs w:val="32"/>
          <w:lang w:val="en-US" w:eastAsia="zh-CN"/>
        </w:rPr>
        <w:t>元</w:t>
      </w:r>
      <w:r>
        <w:rPr>
          <w:rFonts w:hint="eastAsia" w:cs="Times New Roman"/>
          <w:sz w:val="32"/>
          <w:szCs w:val="32"/>
          <w:lang w:eastAsia="zh-CN"/>
        </w:rPr>
        <w:t>。具体立项数量和资助额度视实际申报情况而定。</w:t>
      </w:r>
      <w:r>
        <w:rPr>
          <w:rFonts w:hint="eastAsia" w:cs="Times New Roman"/>
          <w:sz w:val="32"/>
          <w:szCs w:val="32"/>
          <w:lang w:val="en-US" w:eastAsia="zh-CN"/>
        </w:rPr>
        <w:t>项目</w:t>
      </w:r>
      <w:r>
        <w:rPr>
          <w:rFonts w:hint="eastAsia" w:ascii="Times New Roman" w:hAnsi="Times New Roman" w:eastAsia="仿宋_GB2312" w:cs="Times New Roman"/>
          <w:sz w:val="32"/>
          <w:szCs w:val="32"/>
        </w:rPr>
        <w:t>资助经费</w:t>
      </w:r>
      <w:r>
        <w:rPr>
          <w:rFonts w:hint="eastAsia" w:ascii="Times New Roman" w:hAnsi="Times New Roman" w:eastAsia="仿宋_GB2312" w:cs="Times New Roman"/>
          <w:sz w:val="32"/>
          <w:szCs w:val="32"/>
          <w:lang w:eastAsia="zh-CN"/>
        </w:rPr>
        <w:t>由</w:t>
      </w:r>
      <w:r>
        <w:rPr>
          <w:rFonts w:hint="eastAsia" w:ascii="仿宋_GB2312" w:hAnsi="仿宋_GB2312" w:eastAsia="仿宋_GB2312" w:cs="仿宋_GB2312"/>
          <w:sz w:val="32"/>
          <w:szCs w:val="32"/>
        </w:rPr>
        <w:t>省委</w:t>
      </w:r>
      <w:r>
        <w:rPr>
          <w:rFonts w:hint="eastAsia" w:ascii="仿宋_GB2312" w:hAnsi="仿宋_GB2312" w:cs="仿宋_GB2312"/>
          <w:sz w:val="32"/>
          <w:szCs w:val="32"/>
          <w:lang w:val="en-US" w:eastAsia="zh-CN"/>
        </w:rPr>
        <w:t>组织部</w:t>
      </w:r>
      <w:r>
        <w:rPr>
          <w:rFonts w:hint="eastAsia" w:ascii="Times New Roman" w:hAnsi="Times New Roman" w:eastAsia="仿宋_GB2312" w:cs="Times New Roman"/>
          <w:sz w:val="32"/>
          <w:szCs w:val="32"/>
          <w:lang w:eastAsia="zh-CN"/>
        </w:rPr>
        <w:t>直接拨付到项目负责人所在单位。</w:t>
      </w:r>
    </w:p>
    <w:p w14:paraId="03DD1E73">
      <w:pPr>
        <w:pStyle w:val="3"/>
        <w:bidi w:val="0"/>
        <w:rPr>
          <w:rFonts w:hint="default"/>
          <w:lang w:val="en-US" w:eastAsia="zh-CN"/>
        </w:rPr>
      </w:pPr>
      <w:r>
        <w:rPr>
          <w:rFonts w:hint="eastAsia"/>
          <w:lang w:val="en-US" w:eastAsia="zh-CN"/>
        </w:rPr>
        <w:t>三、申报条件</w:t>
      </w:r>
    </w:p>
    <w:p w14:paraId="0EF90631">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为确保研究质量，</w:t>
      </w:r>
      <w:r>
        <w:rPr>
          <w:rFonts w:hint="eastAsia" w:cs="Times New Roman"/>
          <w:sz w:val="32"/>
          <w:szCs w:val="32"/>
          <w:lang w:eastAsia="zh-CN"/>
        </w:rPr>
        <w:t>申请人</w:t>
      </w:r>
      <w:r>
        <w:rPr>
          <w:rFonts w:hint="eastAsia" w:ascii="Times New Roman" w:hAnsi="Times New Roman" w:eastAsia="仿宋_GB2312" w:cs="Times New Roman"/>
          <w:sz w:val="32"/>
          <w:szCs w:val="32"/>
          <w:lang w:eastAsia="zh-CN"/>
        </w:rPr>
        <w:t>在符合</w:t>
      </w:r>
      <w:r>
        <w:rPr>
          <w:rFonts w:hint="eastAsia" w:cs="Times New Roman"/>
          <w:sz w:val="32"/>
          <w:szCs w:val="32"/>
          <w:lang w:val="en-US" w:eastAsia="zh-CN"/>
        </w:rPr>
        <w:t>省社科规划2025年度</w:t>
      </w:r>
      <w:r>
        <w:rPr>
          <w:rFonts w:hint="eastAsia" w:ascii="Times New Roman" w:hAnsi="Times New Roman" w:eastAsia="仿宋_GB2312" w:cs="Times New Roman"/>
          <w:sz w:val="32"/>
          <w:szCs w:val="32"/>
          <w:lang w:eastAsia="zh-CN"/>
        </w:rPr>
        <w:t>合作类专项申报条件的基础上，还应符合以下条件之一：</w:t>
      </w:r>
    </w:p>
    <w:p w14:paraId="7097B4D2">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1.近3年内在相关领域有省部级（含）以上项目研究成果，或有相关科研成果获省部级（含）以上奖项；</w:t>
      </w:r>
    </w:p>
    <w:p w14:paraId="2F61E6C1">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2.近3年内在相关领域为省部级（含）以上单位提供过转化为实际政策措施的决策咨询报告。</w:t>
      </w:r>
    </w:p>
    <w:p w14:paraId="5D24EA4A">
      <w:pPr>
        <w:keepNext w:val="0"/>
        <w:keepLines w:val="0"/>
        <w:pageBreakBefore w:val="0"/>
        <w:widowControl w:val="0"/>
        <w:kinsoku/>
        <w:wordWrap/>
        <w:overflowPunct/>
        <w:topLinePunct w:val="0"/>
        <w:autoSpaceDE/>
        <w:autoSpaceDN/>
        <w:bidi w:val="0"/>
        <w:adjustRightInd/>
        <w:snapToGrid/>
        <w:spacing w:after="0" w:line="240" w:lineRule="auto"/>
        <w:ind w:firstLine="643" w:firstLineChars="200"/>
        <w:jc w:val="both"/>
        <w:textAlignment w:val="auto"/>
        <w:rPr>
          <w:rFonts w:hint="default" w:ascii="Times New Roman" w:hAnsi="Times New Roman" w:eastAsia="仿宋_GB2312" w:cs="Times New Roman"/>
          <w:b/>
          <w:bCs/>
          <w:sz w:val="32"/>
          <w:szCs w:val="32"/>
          <w:lang w:val="en-US" w:eastAsia="zh-CN"/>
        </w:rPr>
      </w:pPr>
      <w:r>
        <w:rPr>
          <w:rFonts w:hint="eastAsia" w:cs="Times New Roman"/>
          <w:b/>
          <w:bCs/>
          <w:sz w:val="32"/>
          <w:szCs w:val="32"/>
          <w:lang w:val="en-US" w:eastAsia="zh-CN"/>
        </w:rPr>
        <w:t>申请人须提交能充分证明上述条件之一的纸质版佐证材料，一式两份。</w:t>
      </w:r>
    </w:p>
    <w:p w14:paraId="0983C8F6">
      <w:pPr>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leftChars="200"/>
        <w:jc w:val="both"/>
        <w:textAlignment w:val="auto"/>
        <w:outlineLvl w:val="1"/>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四、参考选题</w:t>
      </w:r>
    </w:p>
    <w:p w14:paraId="63B8DD1C">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申请人须根据参考选题，结合自己的研究专长和研究基础，细化研究角度、方法和侧重点，设计题目进行申报。参考</w:t>
      </w:r>
      <w:r>
        <w:rPr>
          <w:rFonts w:hint="eastAsia" w:cs="Times New Roman"/>
          <w:sz w:val="32"/>
          <w:szCs w:val="32"/>
          <w:lang w:val="en-US" w:eastAsia="zh-CN"/>
        </w:rPr>
        <w:t>选题如下：</w:t>
      </w:r>
    </w:p>
    <w:p w14:paraId="6A6A520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trike w:val="0"/>
          <w:dstrike w:val="0"/>
          <w:color w:val="000000"/>
          <w:sz w:val="32"/>
          <w:szCs w:val="32"/>
          <w:lang w:val="en-US" w:eastAsia="zh-CN"/>
        </w:rPr>
      </w:pPr>
      <w:r>
        <w:rPr>
          <w:rFonts w:hint="eastAsia" w:ascii="仿宋_GB2312" w:hAnsi="仿宋_GB2312" w:eastAsia="仿宋_GB2312" w:cs="仿宋_GB2312"/>
          <w:strike w:val="0"/>
          <w:dstrike w:val="0"/>
          <w:color w:val="000000"/>
          <w:sz w:val="32"/>
          <w:szCs w:val="32"/>
          <w:lang w:val="en-US" w:eastAsia="zh-CN"/>
        </w:rPr>
        <w:t>1.发挥港澳优势加快国际高端人才集聚路径研究；</w:t>
      </w:r>
    </w:p>
    <w:p w14:paraId="7B4335C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trike w:val="0"/>
          <w:dstrike w:val="0"/>
          <w:color w:val="000000"/>
          <w:sz w:val="32"/>
          <w:szCs w:val="32"/>
          <w:lang w:val="en-US" w:eastAsia="zh-CN"/>
        </w:rPr>
      </w:pPr>
      <w:r>
        <w:rPr>
          <w:rFonts w:hint="eastAsia" w:ascii="仿宋_GB2312" w:hAnsi="仿宋_GB2312" w:eastAsia="仿宋_GB2312" w:cs="仿宋_GB2312"/>
          <w:strike w:val="0"/>
          <w:dstrike w:val="0"/>
          <w:color w:val="000000"/>
          <w:sz w:val="32"/>
          <w:szCs w:val="32"/>
          <w:lang w:val="en-US" w:eastAsia="zh-CN"/>
        </w:rPr>
        <w:t>2.强化“两廊三极多节点”人才区域协同发展路径研究；</w:t>
      </w:r>
    </w:p>
    <w:p w14:paraId="2881975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trike w:val="0"/>
          <w:dstrike w:val="0"/>
          <w:color w:val="000000"/>
          <w:sz w:val="32"/>
          <w:szCs w:val="32"/>
          <w:lang w:val="en-US" w:eastAsia="zh-CN"/>
        </w:rPr>
      </w:pPr>
      <w:r>
        <w:rPr>
          <w:rFonts w:hint="eastAsia" w:ascii="仿宋_GB2312" w:hAnsi="仿宋_GB2312" w:eastAsia="仿宋_GB2312" w:cs="仿宋_GB2312"/>
          <w:strike w:val="0"/>
          <w:dstrike w:val="0"/>
          <w:color w:val="000000"/>
          <w:sz w:val="32"/>
          <w:szCs w:val="32"/>
          <w:lang w:val="en-US" w:eastAsia="zh-CN"/>
        </w:rPr>
        <w:t>3.市县人才发展服务支撑“百千万工程”评价体系研究；</w:t>
      </w:r>
    </w:p>
    <w:p w14:paraId="7BF142B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trike w:val="0"/>
          <w:dstrike w:val="0"/>
          <w:color w:val="000000"/>
          <w:sz w:val="32"/>
          <w:szCs w:val="32"/>
          <w:lang w:val="en-US" w:eastAsia="zh-CN"/>
        </w:rPr>
      </w:pPr>
      <w:r>
        <w:rPr>
          <w:rFonts w:hint="eastAsia" w:ascii="仿宋_GB2312" w:hAnsi="仿宋_GB2312" w:eastAsia="仿宋_GB2312" w:cs="仿宋_GB2312"/>
          <w:strike w:val="0"/>
          <w:dstrike w:val="0"/>
          <w:color w:val="000000"/>
          <w:sz w:val="32"/>
          <w:szCs w:val="32"/>
          <w:lang w:val="en-US" w:eastAsia="zh-CN"/>
        </w:rPr>
        <w:t>4.人工智能和机器人产业人才队伍建设路径研究；</w:t>
      </w:r>
    </w:p>
    <w:p w14:paraId="0E2BDEE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trike w:val="0"/>
          <w:dstrike w:val="0"/>
          <w:color w:val="000000"/>
          <w:sz w:val="32"/>
          <w:szCs w:val="32"/>
          <w:lang w:val="en-US" w:eastAsia="zh-CN"/>
        </w:rPr>
      </w:pPr>
      <w:r>
        <w:rPr>
          <w:rFonts w:hint="eastAsia" w:ascii="仿宋_GB2312" w:hAnsi="仿宋_GB2312" w:eastAsia="仿宋_GB2312" w:cs="仿宋_GB2312"/>
          <w:strike w:val="0"/>
          <w:dstrike w:val="0"/>
          <w:color w:val="000000"/>
          <w:sz w:val="32"/>
          <w:szCs w:val="32"/>
          <w:lang w:val="en-US" w:eastAsia="zh-CN"/>
        </w:rPr>
        <w:t>5.广东解决“卡脖子”共性技术攻关人才图谱支撑路径研究；</w:t>
      </w:r>
    </w:p>
    <w:p w14:paraId="3357CEC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trike w:val="0"/>
          <w:dstrike w:val="0"/>
          <w:color w:val="000000"/>
          <w:sz w:val="32"/>
          <w:szCs w:val="32"/>
          <w:lang w:val="en-US" w:eastAsia="zh-CN"/>
        </w:rPr>
      </w:pPr>
      <w:r>
        <w:rPr>
          <w:rFonts w:hint="eastAsia" w:ascii="仿宋_GB2312" w:hAnsi="仿宋_GB2312" w:eastAsia="仿宋_GB2312" w:cs="仿宋_GB2312"/>
          <w:strike w:val="0"/>
          <w:dstrike w:val="0"/>
          <w:color w:val="000000"/>
          <w:sz w:val="32"/>
          <w:szCs w:val="32"/>
          <w:lang w:val="en-US" w:eastAsia="zh-CN"/>
        </w:rPr>
        <w:t>6.推动产业人才互促双强，强化新质生产力人才支撑路径研究；</w:t>
      </w:r>
    </w:p>
    <w:p w14:paraId="0095820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trike w:val="0"/>
          <w:dstrike w:val="0"/>
          <w:color w:val="000000"/>
          <w:sz w:val="32"/>
          <w:szCs w:val="32"/>
          <w:lang w:val="en-US" w:eastAsia="zh-CN"/>
        </w:rPr>
      </w:pPr>
      <w:r>
        <w:rPr>
          <w:rFonts w:hint="eastAsia" w:ascii="仿宋_GB2312" w:hAnsi="仿宋_GB2312" w:eastAsia="仿宋_GB2312" w:cs="仿宋_GB2312"/>
          <w:strike w:val="0"/>
          <w:dstrike w:val="0"/>
          <w:color w:val="000000"/>
          <w:sz w:val="32"/>
          <w:szCs w:val="32"/>
          <w:lang w:val="en-US" w:eastAsia="zh-CN"/>
        </w:rPr>
        <w:t>7.青年科技创新人才发现选拔培养机制研究；</w:t>
      </w:r>
    </w:p>
    <w:p w14:paraId="6D7BB21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trike w:val="0"/>
          <w:dstrike w:val="0"/>
          <w:color w:val="000000"/>
          <w:sz w:val="32"/>
          <w:szCs w:val="32"/>
          <w:lang w:val="en-US" w:eastAsia="zh-CN"/>
        </w:rPr>
      </w:pPr>
      <w:r>
        <w:rPr>
          <w:rFonts w:hint="eastAsia" w:ascii="仿宋_GB2312" w:hAnsi="仿宋_GB2312" w:eastAsia="仿宋_GB2312" w:cs="仿宋_GB2312"/>
          <w:strike w:val="0"/>
          <w:dstrike w:val="0"/>
          <w:color w:val="000000"/>
          <w:sz w:val="32"/>
          <w:szCs w:val="32"/>
          <w:lang w:val="en-US" w:eastAsia="zh-CN"/>
        </w:rPr>
        <w:t>8.高校工程类教育改革与卓越工程师培养路径研究；</w:t>
      </w:r>
    </w:p>
    <w:p w14:paraId="7CCE7A2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trike w:val="0"/>
          <w:dstrike w:val="0"/>
          <w:color w:val="000000"/>
          <w:sz w:val="32"/>
          <w:szCs w:val="32"/>
          <w:lang w:val="en-US" w:eastAsia="zh-CN"/>
        </w:rPr>
      </w:pPr>
      <w:r>
        <w:rPr>
          <w:rFonts w:hint="eastAsia" w:ascii="仿宋_GB2312" w:hAnsi="仿宋_GB2312" w:eastAsia="仿宋_GB2312" w:cs="仿宋_GB2312"/>
          <w:strike w:val="0"/>
          <w:dstrike w:val="0"/>
          <w:color w:val="000000"/>
          <w:sz w:val="32"/>
          <w:szCs w:val="32"/>
          <w:lang w:val="en-US" w:eastAsia="zh-CN"/>
        </w:rPr>
        <w:t>9.统筹教育科技人才一体推进路径研究。</w:t>
      </w:r>
    </w:p>
    <w:p w14:paraId="53D51D52">
      <w:pPr>
        <w:pStyle w:val="3"/>
        <w:bidi w:val="0"/>
        <w:rPr>
          <w:rFonts w:hint="default"/>
          <w:lang w:val="en-US" w:eastAsia="zh-CN"/>
        </w:rPr>
      </w:pPr>
      <w:r>
        <w:rPr>
          <w:rFonts w:hint="eastAsia"/>
          <w:lang w:val="en-US" w:eastAsia="zh-CN"/>
        </w:rPr>
        <w:t>五、成果要求</w:t>
      </w:r>
    </w:p>
    <w:p w14:paraId="29885D4B">
      <w:pPr>
        <w:bidi w:val="0"/>
        <w:rPr>
          <w:rFonts w:hint="default"/>
          <w:lang w:val="en-US" w:eastAsia="zh-CN"/>
        </w:rPr>
      </w:pPr>
      <w:r>
        <w:rPr>
          <w:rFonts w:hint="eastAsia"/>
          <w:lang w:val="en-US" w:eastAsia="zh-CN"/>
        </w:rPr>
        <w:t>预期</w:t>
      </w:r>
      <w:r>
        <w:rPr>
          <w:rFonts w:hint="default"/>
          <w:lang w:val="en-US" w:eastAsia="zh-CN"/>
        </w:rPr>
        <w:t>成果</w:t>
      </w:r>
      <w:r>
        <w:rPr>
          <w:rFonts w:hint="eastAsia"/>
          <w:lang w:val="en-US" w:eastAsia="zh-CN"/>
        </w:rPr>
        <w:t>为1篇</w:t>
      </w:r>
      <w:r>
        <w:rPr>
          <w:rFonts w:hint="default"/>
          <w:lang w:val="en-US" w:eastAsia="zh-CN"/>
        </w:rPr>
        <w:t>3万字以上研究报告</w:t>
      </w:r>
      <w:r>
        <w:rPr>
          <w:rFonts w:hint="eastAsia"/>
          <w:lang w:val="en-US" w:eastAsia="zh-CN"/>
        </w:rPr>
        <w:t>和1篇</w:t>
      </w:r>
      <w:r>
        <w:rPr>
          <w:rFonts w:hint="default"/>
          <w:lang w:val="en-US" w:eastAsia="zh-CN"/>
        </w:rPr>
        <w:t>3000字左右决策咨询报告</w:t>
      </w:r>
      <w:r>
        <w:rPr>
          <w:rFonts w:hint="eastAsia"/>
          <w:lang w:val="en-US" w:eastAsia="zh-CN"/>
        </w:rPr>
        <w:t>（</w:t>
      </w:r>
      <w:r>
        <w:rPr>
          <w:rFonts w:hint="default"/>
          <w:lang w:val="en-US" w:eastAsia="zh-CN"/>
        </w:rPr>
        <w:t>由省委人才工作领导小组办公室审核同意后，报省委人才工作领导小组作为决策参考</w:t>
      </w:r>
      <w:r>
        <w:rPr>
          <w:rFonts w:hint="eastAsia"/>
          <w:lang w:val="en-US" w:eastAsia="zh-CN"/>
        </w:rPr>
        <w:t>）</w:t>
      </w:r>
      <w:r>
        <w:rPr>
          <w:rFonts w:hint="default"/>
          <w:lang w:val="en-US" w:eastAsia="zh-CN"/>
        </w:rPr>
        <w:t>。项目成果须严格遵守学术规范，并与课题具有相关性。</w:t>
      </w:r>
    </w:p>
    <w:p w14:paraId="2BD85620">
      <w:pPr>
        <w:bidi w:val="0"/>
        <w:rPr>
          <w:rFonts w:hint="default"/>
          <w:lang w:val="en-US" w:eastAsia="zh-CN"/>
        </w:rPr>
      </w:pPr>
      <w:r>
        <w:rPr>
          <w:rFonts w:hint="default"/>
          <w:lang w:val="en-US" w:eastAsia="zh-CN"/>
        </w:rPr>
        <w:t>相关研究成果获得省部级以上领导肯定性批示或被省部级以上单位转化为政策措施的，</w:t>
      </w:r>
      <w:r>
        <w:rPr>
          <w:rFonts w:hint="eastAsia"/>
          <w:lang w:val="en-US" w:eastAsia="zh-CN"/>
        </w:rPr>
        <w:t>可申请</w:t>
      </w:r>
      <w:r>
        <w:rPr>
          <w:rFonts w:hint="default"/>
          <w:lang w:val="en-US" w:eastAsia="zh-CN"/>
        </w:rPr>
        <w:t>免于鉴定</w:t>
      </w:r>
      <w:r>
        <w:rPr>
          <w:rFonts w:hint="eastAsia"/>
          <w:lang w:val="en-US" w:eastAsia="zh-CN"/>
        </w:rPr>
        <w:t>。若参与结项鉴定，</w:t>
      </w:r>
      <w:r>
        <w:rPr>
          <w:rFonts w:hint="default"/>
          <w:lang w:val="en-US" w:eastAsia="zh-CN"/>
        </w:rPr>
        <w:t>可评为“优秀”等次。</w:t>
      </w:r>
      <w:bookmarkStart w:id="0" w:name="_GoBack"/>
      <w:bookmarkEnd w:id="0"/>
    </w:p>
    <w:p w14:paraId="43374769">
      <w:pPr>
        <w:bidi w:val="0"/>
        <w:rPr>
          <w:rFonts w:hint="default"/>
          <w:lang w:val="en-US" w:eastAsia="zh-CN"/>
        </w:rPr>
      </w:pPr>
      <w:r>
        <w:rPr>
          <w:rFonts w:hint="eastAsia"/>
          <w:lang w:val="en-US" w:eastAsia="zh-CN"/>
        </w:rPr>
        <w:t>项目研究周期</w:t>
      </w:r>
      <w:r>
        <w:rPr>
          <w:rFonts w:hint="default"/>
          <w:lang w:val="en-US" w:eastAsia="zh-CN"/>
        </w:rPr>
        <w:t>为2年</w:t>
      </w:r>
      <w:r>
        <w:rPr>
          <w:rFonts w:hint="eastAsia"/>
          <w:lang w:val="en-US" w:eastAsia="zh-CN"/>
        </w:rPr>
        <w:t>，请在2027年8月31日前按要求提交结项材料。</w:t>
      </w:r>
    </w:p>
    <w:p w14:paraId="2A57BC71">
      <w:pPr>
        <w:bidi w:val="0"/>
        <w:rPr>
          <w:rFonts w:hint="default"/>
          <w:lang w:val="en-US" w:eastAsia="zh-CN"/>
        </w:rPr>
      </w:pP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A0442">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1B9298">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21B9298">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0BBD31"/>
    <w:multiLevelType w:val="singleLevel"/>
    <w:tmpl w:val="480BBD3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562C58"/>
    <w:rsid w:val="00A37C1C"/>
    <w:rsid w:val="0AB631CC"/>
    <w:rsid w:val="0BC118BF"/>
    <w:rsid w:val="10562C58"/>
    <w:rsid w:val="107C0AD5"/>
    <w:rsid w:val="126A70B8"/>
    <w:rsid w:val="13E64BE3"/>
    <w:rsid w:val="144963CB"/>
    <w:rsid w:val="1D322C47"/>
    <w:rsid w:val="22824454"/>
    <w:rsid w:val="254F201A"/>
    <w:rsid w:val="2B4B625D"/>
    <w:rsid w:val="346E6B7F"/>
    <w:rsid w:val="4198578C"/>
    <w:rsid w:val="49373210"/>
    <w:rsid w:val="537C437E"/>
    <w:rsid w:val="5C6C601B"/>
    <w:rsid w:val="601D1B80"/>
    <w:rsid w:val="60F3275F"/>
    <w:rsid w:val="625D1E54"/>
    <w:rsid w:val="64A864B1"/>
    <w:rsid w:val="69A60208"/>
    <w:rsid w:val="69E61BED"/>
    <w:rsid w:val="6B7D53D4"/>
    <w:rsid w:val="6C014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880" w:firstLineChars="200"/>
      <w:jc w:val="both"/>
    </w:pPr>
    <w:rPr>
      <w:rFonts w:ascii="Times New Roman" w:hAnsi="Times New Roman" w:eastAsia="仿宋_GB2312" w:cstheme="minorBidi"/>
      <w:kern w:val="2"/>
      <w:sz w:val="32"/>
      <w:szCs w:val="24"/>
      <w:lang w:val="en-US" w:eastAsia="zh-CN" w:bidi="ar-SA"/>
    </w:rPr>
  </w:style>
  <w:style w:type="paragraph" w:styleId="2">
    <w:name w:val="heading 1"/>
    <w:basedOn w:val="1"/>
    <w:next w:val="1"/>
    <w:qFormat/>
    <w:uiPriority w:val="0"/>
    <w:pPr>
      <w:keepNext/>
      <w:keepLines/>
      <w:spacing w:beforeLines="0" w:beforeAutospacing="0" w:afterLines="0" w:afterAutospacing="0" w:line="780" w:lineRule="exact"/>
      <w:ind w:firstLine="0" w:firstLineChars="0"/>
      <w:jc w:val="center"/>
      <w:outlineLvl w:val="0"/>
    </w:pPr>
    <w:rPr>
      <w:rFonts w:ascii="Times New Roman" w:hAnsi="Times New Roman" w:eastAsia="方正小标宋简体" w:cs="Times New Roman"/>
      <w:kern w:val="44"/>
      <w:sz w:val="44"/>
    </w:rPr>
  </w:style>
  <w:style w:type="paragraph" w:styleId="3">
    <w:name w:val="heading 2"/>
    <w:basedOn w:val="1"/>
    <w:next w:val="1"/>
    <w:unhideWhenUsed/>
    <w:qFormat/>
    <w:uiPriority w:val="0"/>
    <w:pPr>
      <w:keepNext/>
      <w:keepLines/>
      <w:spacing w:beforeLines="0" w:beforeAutospacing="0" w:afterLines="0" w:afterAutospacing="0" w:line="240" w:lineRule="auto"/>
      <w:outlineLvl w:val="1"/>
    </w:pPr>
    <w:rPr>
      <w:rFonts w:ascii="Arial" w:hAnsi="Arial" w:eastAsia="黑体"/>
    </w:rPr>
  </w:style>
  <w:style w:type="paragraph" w:styleId="4">
    <w:name w:val="heading 3"/>
    <w:basedOn w:val="1"/>
    <w:next w:val="1"/>
    <w:semiHidden/>
    <w:unhideWhenUsed/>
    <w:qFormat/>
    <w:uiPriority w:val="0"/>
    <w:pPr>
      <w:keepNext/>
      <w:keepLines/>
      <w:spacing w:beforeLines="0" w:beforeAutospacing="0" w:afterLines="0" w:afterAutospacing="0" w:line="413" w:lineRule="auto"/>
      <w:outlineLvl w:val="2"/>
    </w:pPr>
    <w:rPr>
      <w:rFonts w:ascii="Times New Roman" w:hAnsi="Times New Roman" w:eastAsia="楷体_GB231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toa heading"/>
    <w:next w:val="1"/>
    <w:unhideWhenUsed/>
    <w:qFormat/>
    <w:uiPriority w:val="99"/>
    <w:pPr>
      <w:widowControl w:val="0"/>
      <w:spacing w:before="120"/>
      <w:ind w:firstLine="880" w:firstLineChars="200"/>
      <w:jc w:val="both"/>
    </w:pPr>
    <w:rPr>
      <w:rFonts w:ascii="Cambria" w:hAnsi="Cambria" w:eastAsia="仿宋_GB2312" w:cs="Times New Roman"/>
      <w:kern w:val="2"/>
      <w:sz w:val="24"/>
      <w:szCs w:val="24"/>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0">
    <w:name w:val="Normal Indent1"/>
    <w:qFormat/>
    <w:uiPriority w:val="0"/>
    <w:pPr>
      <w:widowControl w:val="0"/>
      <w:ind w:firstLine="880" w:firstLineChars="200"/>
      <w:jc w:val="both"/>
    </w:pPr>
    <w:rPr>
      <w:rFonts w:ascii="等线" w:hAnsi="等线" w:eastAsia="等线"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919</Words>
  <Characters>940</Characters>
  <Lines>0</Lines>
  <Paragraphs>0</Paragraphs>
  <TotalTime>3</TotalTime>
  <ScaleCrop>false</ScaleCrop>
  <LinksUpToDate>false</LinksUpToDate>
  <CharactersWithSpaces>940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2025-05-20T07:03:00Z</dcterms:created>
  <dc:creator>spartaceftt</dc:creator>
  <cp:lastModifiedBy>spartaceftt</cp:lastModifiedBy>
  <dcterms:modified xsi:type="dcterms:W3CDTF">2025-05-29T09:08:26Z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028DBF82550F4485A47451B341796C78_11</vt:lpwstr>
  </property>
  <property fmtid="{D5CDD505-2E9C-101B-9397-08002B2CF9AE}" pid="4" name="KSOTemplateDocerSaveRecord">
    <vt:lpwstr>eyJoZGlkIjoiNzdmY2I2ZDU1YWUzOGZlMmIyOTc4MmExMjJhMTUxMDEiLCJ1c2VySWQiOiI0NTU4NzI5MjYifQ==</vt:lpwstr>
  </property>
</Properties>
</file>