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4A2F">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14:paraId="40ABFF69">
      <w:pPr>
        <w:pStyle w:val="3"/>
        <w:bidi w:val="0"/>
        <w:rPr>
          <w:rFonts w:hint="default"/>
          <w:lang w:val="en-US" w:eastAsia="zh-CN"/>
        </w:rPr>
      </w:pPr>
      <w:r>
        <w:rPr>
          <w:rFonts w:hint="default"/>
          <w:lang w:val="en-US" w:eastAsia="zh-CN"/>
        </w:rPr>
        <w:t>习近平法治思想研究专项申报须知</w:t>
      </w:r>
    </w:p>
    <w:p w14:paraId="15C63CE5">
      <w:pPr>
        <w:ind w:left="0" w:leftChars="0" w:firstLine="640" w:firstLineChars="200"/>
        <w:rPr>
          <w:rFonts w:hint="eastAsia"/>
          <w:lang w:val="en-US" w:eastAsia="zh-CN"/>
        </w:rPr>
      </w:pPr>
    </w:p>
    <w:p w14:paraId="4C0CA67E">
      <w:pPr>
        <w:ind w:left="0" w:leftChars="0" w:firstLine="640" w:firstLineChars="200"/>
        <w:rPr>
          <w:rFonts w:hint="default"/>
          <w:lang w:val="en-US" w:eastAsia="zh-CN"/>
        </w:rPr>
      </w:pPr>
      <w:r>
        <w:rPr>
          <w:rFonts w:hint="eastAsia"/>
          <w:lang w:val="en-US" w:eastAsia="zh-CN"/>
        </w:rPr>
        <w:t>习近平法治思想研究专项包括政法实践研究专项和法学理论与实践研究专项，由省社科规划专项小组分别与中共广东省委政法委员会、广东省法学会联合设立。具体申报要求如下：</w:t>
      </w:r>
    </w:p>
    <w:p w14:paraId="158271E9">
      <w:pPr>
        <w:pStyle w:val="4"/>
        <w:numPr>
          <w:ilvl w:val="0"/>
          <w:numId w:val="1"/>
        </w:numPr>
        <w:bidi w:val="0"/>
        <w:rPr>
          <w:rFonts w:hint="eastAsia"/>
          <w:lang w:val="en-US" w:eastAsia="zh-CN"/>
        </w:rPr>
      </w:pPr>
      <w:r>
        <w:rPr>
          <w:rFonts w:hint="eastAsia"/>
          <w:lang w:val="en-US" w:eastAsia="zh-CN"/>
        </w:rPr>
        <w:t>总体要求</w:t>
      </w:r>
    </w:p>
    <w:p w14:paraId="34ADD61A">
      <w:pPr>
        <w:bidi w:val="0"/>
        <w:rPr>
          <w:rFonts w:hint="default"/>
          <w:lang w:val="en-US" w:eastAsia="zh-CN"/>
        </w:rPr>
      </w:pPr>
      <w:r>
        <w:rPr>
          <w:rFonts w:hint="default"/>
          <w:lang w:val="en-US" w:eastAsia="zh-CN"/>
        </w:rPr>
        <w:t>政法实践研究专项旨在加强我省政法工作理论研究，推进具有实践导向和体系建构的理论创新，为政法工作高质量发展提供前瞻性、引领性的科学指引。</w:t>
      </w:r>
    </w:p>
    <w:p w14:paraId="1C219CF9">
      <w:pPr>
        <w:bidi w:val="0"/>
        <w:rPr>
          <w:rFonts w:hint="default"/>
          <w:lang w:val="en-US" w:eastAsia="zh-CN"/>
        </w:rPr>
      </w:pPr>
      <w:r>
        <w:rPr>
          <w:rFonts w:hint="default"/>
          <w:lang w:val="en-US" w:eastAsia="zh-CN"/>
        </w:rPr>
        <w:t>法学理论与实践研究专项旨在进一步加强研究阐释习近平法治思想，推动平安广东、法治广东建设特别是大湾区法治建设的重大理论和实践问题的研究。</w:t>
      </w:r>
    </w:p>
    <w:p w14:paraId="39A929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黑体" w:hAnsi="黑体" w:eastAsia="黑体" w:cs="黑体"/>
          <w:b w:val="0"/>
          <w:sz w:val="32"/>
          <w:szCs w:val="32"/>
          <w:lang w:val="en-US" w:eastAsia="zh-CN"/>
        </w:rPr>
      </w:pPr>
      <w:r>
        <w:rPr>
          <w:rFonts w:hint="eastAsia" w:ascii="黑体" w:hAnsi="黑体" w:eastAsia="黑体" w:cs="黑体"/>
          <w:b w:val="0"/>
          <w:sz w:val="32"/>
          <w:szCs w:val="32"/>
          <w:lang w:val="en-US" w:eastAsia="zh-CN"/>
        </w:rPr>
        <w:t>二、立项数量与资助经费</w:t>
      </w:r>
    </w:p>
    <w:p w14:paraId="088C93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政法实践研究专项拟</w:t>
      </w:r>
      <w:r>
        <w:rPr>
          <w:rFonts w:hint="eastAsia" w:ascii="仿宋_GB2312" w:hAnsi="仿宋_GB2312" w:eastAsia="仿宋_GB2312" w:cs="仿宋_GB2312"/>
          <w:b w:val="0"/>
          <w:sz w:val="32"/>
          <w:szCs w:val="32"/>
          <w:lang w:val="en-US" w:eastAsia="zh-CN"/>
        </w:rPr>
        <w:t>立</w:t>
      </w:r>
      <w:r>
        <w:rPr>
          <w:rFonts w:hint="eastAsia" w:ascii="仿宋_GB2312" w:hAnsi="仿宋_GB2312" w:eastAsia="仿宋_GB2312" w:cs="仿宋_GB2312"/>
          <w:strike w:val="0"/>
          <w:dstrike w:val="0"/>
          <w:color w:val="000000"/>
          <w:sz w:val="32"/>
          <w:szCs w:val="32"/>
          <w:lang w:val="en-US" w:eastAsia="zh-CN"/>
        </w:rPr>
        <w:t>6</w:t>
      </w:r>
      <w:r>
        <w:rPr>
          <w:rFonts w:hint="eastAsia" w:ascii="仿宋_GB2312" w:hAnsi="仿宋_GB2312" w:eastAsia="仿宋_GB2312" w:cs="仿宋_GB2312"/>
          <w:strike w:val="0"/>
          <w:dstrike w:val="0"/>
          <w:color w:val="000000"/>
          <w:sz w:val="32"/>
          <w:szCs w:val="32"/>
          <w:lang w:eastAsia="zh-CN"/>
        </w:rPr>
        <w:t>项</w:t>
      </w:r>
      <w:r>
        <w:rPr>
          <w:rFonts w:hint="eastAsia" w:ascii="仿宋_GB2312" w:hAnsi="仿宋_GB2312" w:cs="仿宋_GB2312"/>
          <w:strike w:val="0"/>
          <w:dstrike w:val="0"/>
          <w:color w:val="000000"/>
          <w:sz w:val="32"/>
          <w:szCs w:val="32"/>
          <w:lang w:eastAsia="zh-CN"/>
        </w:rPr>
        <w:t>。</w:t>
      </w:r>
      <w:r>
        <w:rPr>
          <w:rFonts w:hint="eastAsia" w:ascii="仿宋_GB2312" w:hAnsi="仿宋_GB2312" w:eastAsia="仿宋_GB2312" w:cs="仿宋_GB2312"/>
          <w:strike w:val="0"/>
          <w:dstrike w:val="0"/>
          <w:color w:val="000000"/>
          <w:sz w:val="32"/>
          <w:szCs w:val="32"/>
          <w:lang w:eastAsia="zh-CN"/>
        </w:rPr>
        <w:t>其中，重点项目2项，每项资助15万元</w:t>
      </w:r>
      <w:r>
        <w:rPr>
          <w:rFonts w:hint="eastAsia" w:ascii="仿宋_GB2312" w:hAnsi="仿宋_GB2312" w:eastAsia="仿宋_GB2312" w:cs="仿宋_GB2312"/>
          <w:b w:val="0"/>
          <w:sz w:val="32"/>
          <w:szCs w:val="32"/>
          <w:lang w:val="en-US" w:eastAsia="zh-CN"/>
        </w:rPr>
        <w:t>；</w:t>
      </w:r>
      <w:r>
        <w:rPr>
          <w:rFonts w:hint="eastAsia" w:ascii="仿宋_GB2312" w:hAnsi="仿宋_GB2312" w:eastAsia="仿宋_GB2312" w:cs="仿宋_GB2312"/>
          <w:strike w:val="0"/>
          <w:dstrike w:val="0"/>
          <w:color w:val="000000"/>
          <w:sz w:val="32"/>
          <w:szCs w:val="32"/>
          <w:lang w:eastAsia="zh-CN"/>
        </w:rPr>
        <w:t>一般项目</w:t>
      </w:r>
      <w:r>
        <w:rPr>
          <w:rFonts w:hint="eastAsia" w:ascii="仿宋_GB2312" w:hAnsi="仿宋_GB2312" w:eastAsia="仿宋_GB2312" w:cs="仿宋_GB2312"/>
          <w:strike w:val="0"/>
          <w:dstrike w:val="0"/>
          <w:color w:val="000000"/>
          <w:sz w:val="32"/>
          <w:szCs w:val="32"/>
          <w:lang w:val="en-US" w:eastAsia="zh-CN"/>
        </w:rPr>
        <w:t>4</w:t>
      </w:r>
      <w:r>
        <w:rPr>
          <w:rFonts w:hint="eastAsia" w:ascii="仿宋_GB2312" w:hAnsi="仿宋_GB2312" w:eastAsia="仿宋_GB2312" w:cs="仿宋_GB2312"/>
          <w:strike w:val="0"/>
          <w:dstrike w:val="0"/>
          <w:color w:val="000000"/>
          <w:sz w:val="32"/>
          <w:szCs w:val="32"/>
          <w:lang w:eastAsia="zh-CN"/>
        </w:rPr>
        <w:t>项，每项资助5万元。</w:t>
      </w:r>
      <w:r>
        <w:rPr>
          <w:rFonts w:hint="eastAsia" w:ascii="仿宋_GB2312" w:hAnsi="仿宋_GB2312" w:cs="仿宋_GB2312"/>
          <w:strike w:val="0"/>
          <w:dstrike w:val="0"/>
          <w:color w:val="000000"/>
          <w:sz w:val="32"/>
          <w:szCs w:val="32"/>
          <w:lang w:val="en-US" w:eastAsia="zh-CN"/>
        </w:rPr>
        <w:t>项目</w:t>
      </w:r>
      <w:r>
        <w:rPr>
          <w:rFonts w:hint="eastAsia" w:ascii="仿宋_GB2312" w:hAnsi="仿宋_GB2312" w:eastAsia="仿宋_GB2312" w:cs="仿宋_GB2312"/>
          <w:strike w:val="0"/>
          <w:dstrike w:val="0"/>
          <w:color w:val="000000"/>
          <w:sz w:val="32"/>
          <w:szCs w:val="32"/>
          <w:lang w:eastAsia="zh-CN"/>
        </w:rPr>
        <w:t>资助经费</w:t>
      </w:r>
      <w:r>
        <w:rPr>
          <w:rFonts w:hint="eastAsia" w:ascii="仿宋_GB2312" w:hAnsi="仿宋_GB2312" w:eastAsia="仿宋_GB2312" w:cs="仿宋_GB2312"/>
          <w:strike w:val="0"/>
          <w:dstrike w:val="0"/>
          <w:color w:val="000000"/>
          <w:sz w:val="32"/>
          <w:szCs w:val="32"/>
          <w:lang w:val="en-US" w:eastAsia="zh-CN"/>
        </w:rPr>
        <w:t>由省委政法委直接拨付到项目负责人所在单位。</w:t>
      </w:r>
    </w:p>
    <w:p w14:paraId="747DB2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法学理论与实践研究专项</w:t>
      </w:r>
      <w:r>
        <w:rPr>
          <w:rFonts w:hint="eastAsia" w:ascii="仿宋_GB2312" w:hAnsi="仿宋_GB2312" w:eastAsia="仿宋_GB2312" w:cs="仿宋_GB2312"/>
          <w:strike w:val="0"/>
          <w:dstrike w:val="0"/>
          <w:color w:val="000000"/>
          <w:sz w:val="32"/>
          <w:szCs w:val="32"/>
          <w:lang w:eastAsia="zh-CN"/>
        </w:rPr>
        <w:t>拟立</w:t>
      </w:r>
      <w:r>
        <w:rPr>
          <w:rFonts w:hint="eastAsia" w:ascii="仿宋_GB2312" w:hAnsi="仿宋_GB2312" w:eastAsia="仿宋_GB2312" w:cs="仿宋_GB2312"/>
          <w:strike w:val="0"/>
          <w:dstrike w:val="0"/>
          <w:color w:val="000000"/>
          <w:sz w:val="32"/>
          <w:szCs w:val="32"/>
          <w:lang w:val="en-US" w:eastAsia="zh-CN"/>
        </w:rPr>
        <w:t>12</w:t>
      </w:r>
      <w:r>
        <w:rPr>
          <w:rFonts w:hint="eastAsia" w:ascii="仿宋_GB2312" w:hAnsi="仿宋_GB2312" w:eastAsia="仿宋_GB2312" w:cs="仿宋_GB2312"/>
          <w:strike w:val="0"/>
          <w:dstrike w:val="0"/>
          <w:color w:val="000000"/>
          <w:sz w:val="32"/>
          <w:szCs w:val="32"/>
          <w:lang w:eastAsia="zh-CN"/>
        </w:rPr>
        <w:t>项</w:t>
      </w:r>
      <w:r>
        <w:rPr>
          <w:rFonts w:hint="eastAsia" w:ascii="仿宋_GB2312" w:hAnsi="仿宋_GB2312" w:cs="仿宋_GB2312"/>
          <w:strike w:val="0"/>
          <w:dstrike w:val="0"/>
          <w:color w:val="000000"/>
          <w:sz w:val="32"/>
          <w:szCs w:val="32"/>
          <w:lang w:eastAsia="zh-CN"/>
        </w:rPr>
        <w:t>。</w:t>
      </w:r>
      <w:r>
        <w:rPr>
          <w:rFonts w:hint="eastAsia" w:ascii="仿宋_GB2312" w:hAnsi="仿宋_GB2312" w:cs="仿宋_GB2312"/>
          <w:strike w:val="0"/>
          <w:dstrike w:val="0"/>
          <w:color w:val="000000"/>
          <w:sz w:val="32"/>
          <w:szCs w:val="32"/>
          <w:lang w:val="en-US" w:eastAsia="zh-CN"/>
        </w:rPr>
        <w:t>其中，</w:t>
      </w:r>
      <w:r>
        <w:rPr>
          <w:rFonts w:hint="eastAsia" w:ascii="仿宋_GB2312" w:hAnsi="仿宋_GB2312" w:eastAsia="仿宋_GB2312" w:cs="仿宋_GB2312"/>
          <w:b w:val="0"/>
          <w:sz w:val="32"/>
          <w:szCs w:val="32"/>
          <w:lang w:val="en-US" w:eastAsia="zh-CN"/>
        </w:rPr>
        <w:t>一般项目5项，每项资助5万元；青年项目7项，每项资助3万元</w:t>
      </w:r>
      <w:r>
        <w:rPr>
          <w:rFonts w:hint="eastAsia" w:ascii="仿宋_GB2312" w:hAnsi="仿宋_GB2312" w:eastAsia="仿宋_GB2312" w:cs="仿宋_GB2312"/>
          <w:strike w:val="0"/>
          <w:dstrike w:val="0"/>
          <w:color w:val="000000"/>
          <w:sz w:val="32"/>
          <w:szCs w:val="32"/>
          <w:lang w:eastAsia="zh-CN"/>
        </w:rPr>
        <w:t>。项目资助经费</w:t>
      </w:r>
      <w:r>
        <w:rPr>
          <w:rFonts w:hint="eastAsia" w:ascii="仿宋_GB2312" w:hAnsi="仿宋_GB2312" w:eastAsia="仿宋_GB2312" w:cs="仿宋_GB2312"/>
          <w:strike w:val="0"/>
          <w:dstrike w:val="0"/>
          <w:color w:val="000000"/>
          <w:sz w:val="32"/>
          <w:szCs w:val="32"/>
          <w:lang w:val="en-US" w:eastAsia="zh-CN"/>
        </w:rPr>
        <w:t>由广东省法学会直接拨付到项目负责人所在单位。</w:t>
      </w:r>
    </w:p>
    <w:p w14:paraId="54D1A05E">
      <w:pPr>
        <w:bidi w:val="0"/>
        <w:rPr>
          <w:rFonts w:hint="eastAsia"/>
          <w:lang w:val="en-US" w:eastAsia="zh-CN"/>
        </w:rPr>
      </w:pPr>
      <w:r>
        <w:rPr>
          <w:rFonts w:hint="eastAsia"/>
          <w:lang w:val="en-US" w:eastAsia="zh-CN"/>
        </w:rPr>
        <w:t>具体立项数量和资助额度视实际申报情况而定。</w:t>
      </w:r>
    </w:p>
    <w:p w14:paraId="019C1AC4">
      <w:pPr>
        <w:pStyle w:val="4"/>
        <w:bidi w:val="0"/>
        <w:rPr>
          <w:rFonts w:hint="default"/>
          <w:lang w:val="en-US" w:eastAsia="zh-CN"/>
        </w:rPr>
      </w:pPr>
      <w:r>
        <w:rPr>
          <w:rFonts w:hint="eastAsia"/>
          <w:lang w:val="en-US" w:eastAsia="zh-CN"/>
        </w:rPr>
        <w:t>三、参考选题</w:t>
      </w:r>
    </w:p>
    <w:p w14:paraId="3456B1B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政法实践研究专项</w:t>
      </w:r>
    </w:p>
    <w:p w14:paraId="02256B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重点项目参考选题：1.推动粤港澳大湾区法治规则“软联通”研究；2.人工智能安全风险与防范研究。</w:t>
      </w:r>
    </w:p>
    <w:p w14:paraId="110EBE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一般项目参考选题：1.社会治安综合治理视角下心理危机干预机制研究；2.加强新时代群防群治工作研究；3.岭南传统法律文化传承与发展研究；4.新就业群体权益保障机制研究。</w:t>
      </w:r>
    </w:p>
    <w:p w14:paraId="0D2305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firstLine="640" w:firstLineChars="200"/>
        <w:jc w:val="left"/>
        <w:textAlignment w:val="auto"/>
        <w:rPr>
          <w:rFonts w:hint="eastAsia" w:ascii="仿宋_GB2312" w:hAnsi="仿宋_GB2312" w:eastAsia="仿宋_GB2312" w:cs="仿宋_GB2312"/>
          <w:smallCaps/>
          <w:kern w:val="2"/>
          <w:sz w:val="32"/>
          <w:szCs w:val="32"/>
          <w:lang w:val="en-US" w:eastAsia="zh-CN" w:bidi="ar-SA"/>
        </w:rPr>
      </w:pPr>
      <w:r>
        <w:rPr>
          <w:rFonts w:hint="eastAsia" w:ascii="仿宋_GB2312" w:hAnsi="仿宋_GB2312" w:eastAsia="仿宋_GB2312" w:cs="仿宋_GB2312"/>
          <w:b w:val="0"/>
          <w:smallCaps w:val="0"/>
          <w:kern w:val="2"/>
          <w:sz w:val="32"/>
          <w:szCs w:val="32"/>
          <w:lang w:val="en-US" w:eastAsia="zh-CN" w:bidi="ar-SA"/>
        </w:rPr>
        <w:t>项目名称应与参考选题保持一致，不接受参考选题之外的申报。</w:t>
      </w:r>
    </w:p>
    <w:p w14:paraId="4C92B71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法学理论与实践研究专项</w:t>
      </w:r>
    </w:p>
    <w:p w14:paraId="40A0FC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申请人根据参考选题，结合自己的研究专长和研究基础，细化研究角度、方法和侧重点，设计题目进行申报。参考选题如下：</w:t>
      </w:r>
    </w:p>
    <w:p w14:paraId="3C9B6C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1.习近平法治思想在广东的实践研究；</w:t>
      </w:r>
    </w:p>
    <w:p w14:paraId="39D2C2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2.《民法典》实施中的重大理论和前沿问题研究；</w:t>
      </w:r>
    </w:p>
    <w:p w14:paraId="079EAE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3.新科技风险的刑法应对研究；</w:t>
      </w:r>
    </w:p>
    <w:p w14:paraId="242BE8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4.数字时代背景下知识产权理论与法治创新研究；</w:t>
      </w:r>
    </w:p>
    <w:p w14:paraId="41D10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5.人口老龄化与社会保障体系完善的法律问题；</w:t>
      </w:r>
    </w:p>
    <w:p w14:paraId="785A52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6.人工智能算法治理研究；</w:t>
      </w:r>
    </w:p>
    <w:p w14:paraId="4C9B1F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7.海洋强国建设法治保障研究；</w:t>
      </w:r>
    </w:p>
    <w:p w14:paraId="0888DD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8.“一带一路”建设与涉外法治体系研究；</w:t>
      </w:r>
    </w:p>
    <w:p w14:paraId="043E37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9.无人驾驶、低空经济、人工智能、虚拟货币、数据权属等重点领域、新兴领域法律问题研究；</w:t>
      </w:r>
    </w:p>
    <w:p w14:paraId="576752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10.民营经济促进法、金融法等立法问题研究；</w:t>
      </w:r>
    </w:p>
    <w:p w14:paraId="0298C0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11.粤港澳大湾区民商事规则衔接研究；</w:t>
      </w:r>
    </w:p>
    <w:p w14:paraId="15B408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12.其他。</w:t>
      </w:r>
    </w:p>
    <w:p w14:paraId="47D4A07C">
      <w:pPr>
        <w:pStyle w:val="4"/>
        <w:bidi w:val="0"/>
        <w:rPr>
          <w:rFonts w:hint="eastAsia"/>
          <w:lang w:val="en-US" w:eastAsia="zh-CN"/>
        </w:rPr>
      </w:pPr>
      <w:r>
        <w:rPr>
          <w:rFonts w:hint="eastAsia"/>
          <w:lang w:val="en-US" w:eastAsia="zh-CN"/>
        </w:rPr>
        <w:t>四、成果要求</w:t>
      </w:r>
    </w:p>
    <w:p w14:paraId="11FCD3F8">
      <w:pPr>
        <w:rPr>
          <w:rFonts w:hint="default"/>
          <w:lang w:val="en-US" w:eastAsia="zh-CN"/>
        </w:rPr>
      </w:pPr>
      <w:r>
        <w:rPr>
          <w:rFonts w:hint="default"/>
          <w:lang w:val="en-US" w:eastAsia="zh-CN"/>
        </w:rPr>
        <w:t>项目成果须严格遵守学术规范，并与课题具有相关性。项目研究周期为</w:t>
      </w:r>
      <w:r>
        <w:rPr>
          <w:rFonts w:hint="eastAsia"/>
          <w:lang w:val="en-US" w:eastAsia="zh-CN"/>
        </w:rPr>
        <w:t>2</w:t>
      </w:r>
      <w:r>
        <w:rPr>
          <w:rFonts w:hint="default"/>
          <w:lang w:val="en-US" w:eastAsia="zh-CN"/>
        </w:rPr>
        <w:t>年，请在202</w:t>
      </w:r>
      <w:r>
        <w:rPr>
          <w:rFonts w:hint="eastAsia"/>
          <w:lang w:val="en-US" w:eastAsia="zh-CN"/>
        </w:rPr>
        <w:t>7</w:t>
      </w:r>
      <w:r>
        <w:rPr>
          <w:rFonts w:hint="default"/>
          <w:lang w:val="en-US" w:eastAsia="zh-CN"/>
        </w:rPr>
        <w:t>年</w:t>
      </w:r>
      <w:r>
        <w:rPr>
          <w:rFonts w:hint="eastAsia"/>
          <w:lang w:val="en-US" w:eastAsia="zh-CN"/>
        </w:rPr>
        <w:t>8</w:t>
      </w:r>
      <w:r>
        <w:rPr>
          <w:rFonts w:hint="default"/>
          <w:lang w:val="en-US" w:eastAsia="zh-CN"/>
        </w:rPr>
        <w:t>月</w:t>
      </w:r>
      <w:r>
        <w:rPr>
          <w:rFonts w:hint="eastAsia"/>
          <w:lang w:val="en-US" w:eastAsia="zh-CN"/>
        </w:rPr>
        <w:t>31</w:t>
      </w:r>
      <w:r>
        <w:rPr>
          <w:rFonts w:hint="default"/>
          <w:lang w:val="en-US" w:eastAsia="zh-CN"/>
        </w:rPr>
        <w:t>日前按要求提交结项材料。</w:t>
      </w:r>
    </w:p>
    <w:p w14:paraId="677FEEEB">
      <w:pPr>
        <w:pStyle w:val="5"/>
        <w:bidi w:val="0"/>
        <w:rPr>
          <w:rFonts w:hint="eastAsia"/>
          <w:lang w:val="en-US" w:eastAsia="zh-CN"/>
        </w:rPr>
      </w:pPr>
      <w:r>
        <w:rPr>
          <w:rFonts w:hint="eastAsia"/>
          <w:lang w:val="en-US" w:eastAsia="zh-CN"/>
        </w:rPr>
        <w:t>（一）政法实践研究专项</w:t>
      </w:r>
    </w:p>
    <w:p w14:paraId="74CAA97C">
      <w:pPr>
        <w:bidi w:val="0"/>
        <w:rPr>
          <w:rFonts w:hint="default"/>
          <w:lang w:val="en-US" w:eastAsia="zh-CN"/>
        </w:rPr>
      </w:pPr>
      <w:r>
        <w:rPr>
          <w:rFonts w:hint="eastAsia"/>
          <w:lang w:val="en-US" w:eastAsia="zh-CN"/>
        </w:rPr>
        <w:t>重点项目成果要求：1篇3万字以上研究报告+2篇中文核心期刊论文。</w:t>
      </w:r>
    </w:p>
    <w:p w14:paraId="2491AD2A">
      <w:pPr>
        <w:bidi w:val="0"/>
        <w:rPr>
          <w:rFonts w:hint="default"/>
          <w:lang w:val="en-US" w:eastAsia="zh-CN"/>
        </w:rPr>
      </w:pPr>
      <w:r>
        <w:rPr>
          <w:rFonts w:hint="eastAsia"/>
          <w:lang w:val="en-US" w:eastAsia="zh-CN"/>
        </w:rPr>
        <w:t>一般项目成果要求：1篇3万字以上研究报告+1篇中文核心期刊论文。</w:t>
      </w:r>
    </w:p>
    <w:p w14:paraId="448CB61B">
      <w:pPr>
        <w:bidi w:val="0"/>
        <w:rPr>
          <w:rFonts w:hint="eastAsia"/>
          <w:lang w:val="en-US" w:eastAsia="zh-CN"/>
        </w:rPr>
      </w:pPr>
      <w:r>
        <w:rPr>
          <w:rFonts w:hint="eastAsia"/>
          <w:lang w:val="en-US" w:eastAsia="zh-CN"/>
        </w:rPr>
        <w:t>满足以下条件之一，结项时可评为“优秀”等次：（1）</w:t>
      </w:r>
    </w:p>
    <w:p w14:paraId="7D1042FE">
      <w:pPr>
        <w:bidi w:val="0"/>
        <w:ind w:left="0" w:leftChars="0" w:firstLine="0" w:firstLineChars="0"/>
        <w:rPr>
          <w:rFonts w:hint="default"/>
          <w:lang w:val="en-US" w:eastAsia="zh-CN"/>
        </w:rPr>
      </w:pPr>
      <w:r>
        <w:rPr>
          <w:rFonts w:hint="eastAsia"/>
          <w:lang w:val="en-US" w:eastAsia="zh-CN"/>
        </w:rPr>
        <w:t>在“三报一刊”（《人民日报》《光明日报》《经济日报》《求是》）发表1篇与项目相关的理论文章；（2）决策咨询报告获省部级及以上现职领导的肯定性批示，或被省部级及以上党政部门采纳转化为具体政策措施。</w:t>
      </w:r>
    </w:p>
    <w:p w14:paraId="7FADFBD1">
      <w:pPr>
        <w:pStyle w:val="5"/>
        <w:bidi w:val="0"/>
        <w:rPr>
          <w:rFonts w:hint="eastAsia" w:ascii="Times New Roman" w:hAnsi="Times New Roman"/>
          <w:b w:val="0"/>
          <w:lang w:val="en-US" w:eastAsia="zh-CN"/>
        </w:rPr>
      </w:pPr>
      <w:r>
        <w:rPr>
          <w:rFonts w:hint="eastAsia" w:ascii="Times New Roman" w:hAnsi="Times New Roman"/>
          <w:b w:val="0"/>
          <w:lang w:val="en-US" w:eastAsia="zh-CN"/>
        </w:rPr>
        <w:t>（二）法学理论与实践研究专项</w:t>
      </w:r>
    </w:p>
    <w:p w14:paraId="334EED7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一般项目成果形式为：1篇3万字以上研究报告+1篇</w:t>
      </w:r>
    </w:p>
    <w:p w14:paraId="440996C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发表在CSSCI来源期刊的论文。</w:t>
      </w:r>
    </w:p>
    <w:p w14:paraId="226AB95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青年项目成果形式为：1篇3万字以上研究报告+1篇发表在CSSCI来源期刊的论文（被CSSCI扩展版来源期刊或《法治社会》采用亦视为满足条件）。</w:t>
      </w:r>
    </w:p>
    <w:p w14:paraId="436602D2">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满足以上成果形式并达到以下条件之一可申请免于</w:t>
      </w:r>
      <w:bookmarkStart w:id="0" w:name="_GoBack"/>
      <w:bookmarkEnd w:id="0"/>
      <w:r>
        <w:rPr>
          <w:rFonts w:hint="eastAsia"/>
          <w:lang w:val="en-US" w:eastAsia="zh-CN"/>
        </w:rPr>
        <w:t>鉴定：（1）在中央“三报一刊”（《人民日报》《光明日报》《经济日报》《求是》杂志）刊发与课题相关理论文章1篇；（2）研究成果在广东省法学会《学术信息》等刊发并获省部级及以上领导肯定性批示，或被省级以上党政部门吸纳转化为具体政策。</w:t>
      </w:r>
    </w:p>
    <w:p w14:paraId="1C7EB6A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结项时获评为“优秀”等次的，额外获1万元资助。</w:t>
      </w:r>
    </w:p>
    <w:p w14:paraId="5DB35E6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311CBC3A">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0F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8BD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B8BD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BD31"/>
    <w:multiLevelType w:val="singleLevel"/>
    <w:tmpl w:val="480BBD31"/>
    <w:lvl w:ilvl="0" w:tentative="0">
      <w:start w:val="1"/>
      <w:numFmt w:val="chineseCounting"/>
      <w:suff w:val="nothing"/>
      <w:lvlText w:val="%1、"/>
      <w:lvlJc w:val="left"/>
      <w:rPr>
        <w:rFonts w:hint="eastAsia"/>
      </w:rPr>
    </w:lvl>
  </w:abstractNum>
  <w:abstractNum w:abstractNumId="1">
    <w:nsid w:val="77F7C4CD"/>
    <w:multiLevelType w:val="singleLevel"/>
    <w:tmpl w:val="77F7C4C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73308"/>
    <w:rsid w:val="00D45B2A"/>
    <w:rsid w:val="037F36C7"/>
    <w:rsid w:val="05860158"/>
    <w:rsid w:val="0734304A"/>
    <w:rsid w:val="08BA6A96"/>
    <w:rsid w:val="10732DF3"/>
    <w:rsid w:val="11542197"/>
    <w:rsid w:val="12F42BA4"/>
    <w:rsid w:val="16880C63"/>
    <w:rsid w:val="16D52CED"/>
    <w:rsid w:val="1B642891"/>
    <w:rsid w:val="1B925650"/>
    <w:rsid w:val="1C2E217C"/>
    <w:rsid w:val="254F201A"/>
    <w:rsid w:val="2B4B625D"/>
    <w:rsid w:val="3072158B"/>
    <w:rsid w:val="324938A1"/>
    <w:rsid w:val="32645C3F"/>
    <w:rsid w:val="33501C21"/>
    <w:rsid w:val="3BC9431F"/>
    <w:rsid w:val="3CE8111C"/>
    <w:rsid w:val="40C5772B"/>
    <w:rsid w:val="43056584"/>
    <w:rsid w:val="43B5750E"/>
    <w:rsid w:val="440E1469"/>
    <w:rsid w:val="44BC6AA8"/>
    <w:rsid w:val="45D466E2"/>
    <w:rsid w:val="482E3EC8"/>
    <w:rsid w:val="4B817C13"/>
    <w:rsid w:val="4EA01857"/>
    <w:rsid w:val="52462715"/>
    <w:rsid w:val="537C437E"/>
    <w:rsid w:val="551D59AF"/>
    <w:rsid w:val="5DC906FE"/>
    <w:rsid w:val="66A3792A"/>
    <w:rsid w:val="67C279C8"/>
    <w:rsid w:val="68B7646F"/>
    <w:rsid w:val="69A60208"/>
    <w:rsid w:val="70A72179"/>
    <w:rsid w:val="77BC7E79"/>
    <w:rsid w:val="78BC5D21"/>
    <w:rsid w:val="7C273308"/>
    <w:rsid w:val="7C7970C0"/>
    <w:rsid w:val="7F263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5">
    <w:name w:val="heading 3"/>
    <w:basedOn w:val="1"/>
    <w:next w:val="1"/>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next w:val="1"/>
    <w:qFormat/>
    <w:uiPriority w:val="0"/>
    <w:pPr>
      <w:widowControl w:val="0"/>
      <w:ind w:left="280"/>
      <w:jc w:val="left"/>
    </w:pPr>
    <w:rPr>
      <w:rFonts w:ascii="等线" w:hAnsi="等线" w:eastAsia="楷体" w:cs="Times New Roman"/>
      <w:smallCaps/>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1399</Words>
  <Characters>1442</Characters>
  <Lines>0</Lines>
  <Paragraphs>0</Paragraphs>
  <TotalTime>48</TotalTime>
  <ScaleCrop>false</ScaleCrop>
  <LinksUpToDate>false</LinksUpToDate>
  <CharactersWithSpaces>1442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2025-05-20T02:54:00Z</dcterms:created>
  <dc:creator>spartaceftt</dc:creator>
  <cp:lastModifiedBy>spartaceftt</cp:lastModifiedBy>
  <cp:lastPrinted>2025-05-27T03:28:00Z</cp:lastPrinted>
  <dcterms:modified xsi:type="dcterms:W3CDTF">2025-05-29T09:05:34Z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3841ADEDB0B3414A805E2A043B704DA3_11</vt:lpwstr>
  </property>
  <property fmtid="{D5CDD505-2E9C-101B-9397-08002B2CF9AE}" pid="4" name="KSOTemplateDocerSaveRecord">
    <vt:lpwstr>eyJoZGlkIjoiNzdmY2I2ZDU1YWUzOGZlMmIyOTc4MmExMjJhMTUxMDEiLCJ1c2VySWQiOiI0NTU4NzI5MjYifQ==</vt:lpwstr>
  </property>
</Properties>
</file>